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>
      <w:pPr>
        <w:widowControl w:val="0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县（市、区）政务服务“遂潼通办”事项办事指南</w:t>
      </w:r>
    </w:p>
    <w:tbl>
      <w:tblPr>
        <w:tblStyle w:val="6"/>
        <w:tblW w:w="1531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75"/>
        <w:gridCol w:w="3969"/>
        <w:gridCol w:w="1622"/>
        <w:gridCol w:w="1800"/>
        <w:gridCol w:w="1146"/>
        <w:gridCol w:w="1227"/>
        <w:gridCol w:w="1050"/>
        <w:gridCol w:w="675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事项名称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申请材料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办事流程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业务模式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5"/>
                <w:szCs w:val="15"/>
              </w:rPr>
              <w:t>（全程网办、异地代收代办、多地联办）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时限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时限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办理层级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5"/>
                <w:szCs w:val="15"/>
              </w:rPr>
              <w:t>（明确市、县，乡）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收费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64" w:rightChars="-2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64" w:rightChars="-2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eastAsia="zh-CN"/>
        </w:rPr>
        <w:t>请参考船山区“遂潼通办”事项办事指南，只报送与船山区不一样的“遂潼通办”事项。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DgzZjk3ZDMxOTk1N2RiY2Y3OTM0ZGU1YzM5YTEifQ=="/>
  </w:docVars>
  <w:rsids>
    <w:rsidRoot w:val="1C813AB7"/>
    <w:rsid w:val="1C8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2022-09-14T08:45:00Z</dcterms:created>
  <dc:creator>jsh</dc:creator>
  <cp:lastModifiedBy>jsh</cp:lastModifiedBy>
  <dcterms:modified xsi:type="dcterms:W3CDTF">2022-09-14T08:45:52Z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D817D4DDA4FC40DC9267D480C628E82D</vt:lpwstr>
  </property>
</Properties>
</file>