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黑体" w:hAnsi="黑体" w:eastAsia="黑体" w:cs="仿宋"/>
          <w:sz w:val="32"/>
          <w:szCs w:val="32"/>
        </w:rPr>
      </w:pPr>
      <w:r>
        <w:rPr>
          <w:rFonts w:hint="eastAsia" w:ascii="黑体" w:hAnsi="黑体" w:eastAsia="黑体" w:cs="仿宋"/>
          <w:sz w:val="32"/>
          <w:szCs w:val="32"/>
        </w:rPr>
        <w:t>附件</w:t>
      </w:r>
      <w:r>
        <w:rPr>
          <w:rFonts w:ascii="Times New Roman" w:hAnsi="Times New Roman" w:eastAsia="黑体"/>
          <w:sz w:val="32"/>
          <w:szCs w:val="32"/>
        </w:rPr>
        <w:t>1</w:t>
      </w:r>
    </w:p>
    <w:p>
      <w:pPr>
        <w:spacing w:line="620" w:lineRule="exact"/>
        <w:jc w:val="center"/>
        <w:rPr>
          <w:rFonts w:hint="eastAsia" w:ascii="黑体" w:hAnsi="黑体" w:eastAsia="黑体" w:cs="仿宋"/>
          <w:sz w:val="32"/>
          <w:szCs w:val="32"/>
        </w:rPr>
      </w:pPr>
      <w:r>
        <w:rPr>
          <w:rFonts w:hint="eastAsia" w:ascii="方正小标宋简体" w:hAnsi="等线" w:eastAsia="方正小标宋简体" w:cs="宋体"/>
          <w:kern w:val="0"/>
          <w:sz w:val="40"/>
          <w:szCs w:val="40"/>
        </w:rPr>
        <w:t>事项清单统计报表（截至6月8日）</w:t>
      </w:r>
    </w:p>
    <w:tbl>
      <w:tblPr>
        <w:tblStyle w:val="5"/>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787"/>
        <w:gridCol w:w="2699"/>
        <w:gridCol w:w="1169"/>
        <w:gridCol w:w="1389"/>
        <w:gridCol w:w="121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bCs/>
                <w:kern w:val="0"/>
                <w:sz w:val="24"/>
                <w:szCs w:val="24"/>
              </w:rPr>
            </w:pPr>
            <w:r>
              <w:rPr>
                <w:rFonts w:hint="eastAsia" w:ascii="黑体" w:hAnsi="黑体" w:eastAsia="黑体"/>
                <w:bCs/>
                <w:kern w:val="0"/>
                <w:sz w:val="24"/>
                <w:szCs w:val="24"/>
              </w:rPr>
              <w:t>序号</w:t>
            </w:r>
          </w:p>
        </w:tc>
        <w:tc>
          <w:tcPr>
            <w:tcW w:w="3486"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区域/部门</w:t>
            </w:r>
          </w:p>
        </w:tc>
        <w:tc>
          <w:tcPr>
            <w:tcW w:w="5031" w:type="dxa"/>
            <w:gridSpan w:val="4"/>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kern w:val="0"/>
                <w:sz w:val="24"/>
                <w:szCs w:val="24"/>
              </w:rPr>
            </w:pPr>
            <w:r>
              <w:rPr>
                <w:rFonts w:hint="eastAsia" w:ascii="黑体" w:hAnsi="黑体" w:eastAsia="黑体" w:cs="宋体"/>
                <w:kern w:val="0"/>
                <w:sz w:val="24"/>
                <w:szCs w:val="24"/>
              </w:rPr>
              <w:t>事项基础指标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bCs/>
                <w:kern w:val="0"/>
                <w:sz w:val="24"/>
                <w:szCs w:val="24"/>
              </w:rPr>
            </w:pPr>
          </w:p>
        </w:tc>
        <w:tc>
          <w:tcPr>
            <w:tcW w:w="3486"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bCs/>
                <w:kern w:val="0"/>
                <w:sz w:val="24"/>
                <w:szCs w:val="24"/>
              </w:rPr>
            </w:pPr>
          </w:p>
        </w:tc>
        <w:tc>
          <w:tcPr>
            <w:tcW w:w="1169"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依申请事项数</w:t>
            </w:r>
          </w:p>
        </w:tc>
        <w:tc>
          <w:tcPr>
            <w:tcW w:w="1389" w:type="dxa"/>
            <w:noWrap w:val="0"/>
            <w:vAlign w:val="center"/>
          </w:tcPr>
          <w:p>
            <w:pPr>
              <w:keepNext w:val="0"/>
              <w:keepLines w:val="0"/>
              <w:pageBreakBefore w:val="0"/>
              <w:widowControl/>
              <w:kinsoku/>
              <w:wordWrap/>
              <w:overflowPunct/>
              <w:topLinePunct w:val="0"/>
              <w:autoSpaceDE/>
              <w:autoSpaceDN/>
              <w:bidi w:val="0"/>
              <w:adjustRightInd w:val="0"/>
              <w:snapToGrid w:val="0"/>
              <w:ind w:right="-70" w:rightChars="-22"/>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进驻政务大厅事项数</w:t>
            </w:r>
          </w:p>
        </w:tc>
        <w:tc>
          <w:tcPr>
            <w:tcW w:w="121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进驻政务大厅比例</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bCs/>
                <w:kern w:val="0"/>
                <w:sz w:val="24"/>
                <w:szCs w:val="24"/>
              </w:rPr>
            </w:pPr>
            <w:r>
              <w:rPr>
                <w:rFonts w:hint="eastAsia" w:ascii="黑体" w:hAnsi="黑体" w:eastAsia="黑体" w:cs="宋体"/>
                <w:bCs/>
                <w:kern w:val="0"/>
                <w:sz w:val="24"/>
                <w:szCs w:val="24"/>
              </w:rPr>
              <w:t>全程网办率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船山区</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1045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849</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81.24%</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hint="eastAsia" w:ascii="Times New Roman" w:hAnsi="Times New Roman" w:eastAsia="仿宋_GB2312"/>
                <w:kern w:val="0"/>
                <w:sz w:val="24"/>
                <w:szCs w:val="24"/>
              </w:rPr>
              <w:t>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安居区</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923</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428</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46.37%</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遂宁经开区</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293</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249</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84.98%</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4</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遂宁河东新区</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245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206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84.08%</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5</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蓬溪县</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1222</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719</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58.84%</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6</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射洪市</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1065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625</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58.69%</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62.07%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7</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大英县</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1245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784</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62.97%</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8</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遂宁高新区</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246</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246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96.75%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9</w:t>
            </w: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ascii="Times New Roman" w:hAnsi="Times New Roman" w:eastAsia="仿宋_GB2312"/>
                <w:kern w:val="0"/>
                <w:sz w:val="24"/>
                <w:szCs w:val="24"/>
              </w:rPr>
              <w:t>遂宁市本级</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1372</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1251</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91.18%</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p>
        </w:tc>
        <w:tc>
          <w:tcPr>
            <w:tcW w:w="34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b/>
                <w:bCs/>
                <w:kern w:val="0"/>
                <w:sz w:val="24"/>
                <w:szCs w:val="24"/>
              </w:rPr>
            </w:pPr>
            <w:r>
              <w:rPr>
                <w:rFonts w:hint="eastAsia" w:ascii="黑体" w:hAnsi="黑体" w:eastAsia="黑体" w:cs="黑体"/>
                <w:kern w:val="0"/>
                <w:sz w:val="24"/>
                <w:szCs w:val="24"/>
              </w:rPr>
              <w:t>全市</w:t>
            </w:r>
          </w:p>
        </w:tc>
        <w:tc>
          <w:tcPr>
            <w:tcW w:w="1169" w:type="dxa"/>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7656</w:t>
            </w:r>
          </w:p>
        </w:tc>
        <w:tc>
          <w:tcPr>
            <w:tcW w:w="1389" w:type="dxa"/>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5357</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69.97%</w:t>
            </w:r>
          </w:p>
        </w:tc>
        <w:tc>
          <w:tcPr>
            <w:tcW w:w="125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w:t>
            </w:r>
          </w:p>
        </w:tc>
        <w:tc>
          <w:tcPr>
            <w:tcW w:w="0" w:type="auto"/>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遂宁</w:t>
            </w:r>
          </w:p>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市本级</w:t>
            </w: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hint="eastAsia" w:ascii="Times New Roman" w:hAnsi="Times New Roman" w:eastAsia="仿宋_GB2312"/>
                <w:kern w:val="0"/>
                <w:sz w:val="24"/>
                <w:szCs w:val="24"/>
              </w:rPr>
              <w:t>市</w:t>
            </w:r>
            <w:r>
              <w:rPr>
                <w:rFonts w:ascii="Times New Roman" w:hAnsi="Times New Roman" w:eastAsia="仿宋_GB2312"/>
                <w:kern w:val="0"/>
                <w:sz w:val="24"/>
                <w:szCs w:val="24"/>
              </w:rPr>
              <w:t>民族宗教局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17</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94.12%</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hint="eastAsia" w:ascii="Times New Roman" w:hAnsi="Times New Roman" w:eastAsia="仿宋_GB2312"/>
                <w:kern w:val="0"/>
                <w:sz w:val="24"/>
                <w:szCs w:val="24"/>
              </w:rPr>
              <w:t>17.65</w:t>
            </w:r>
            <w:r>
              <w:rPr>
                <w:rFonts w:ascii="Times New Roman" w:hAnsi="Times New Roman" w:eastAsia="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w:t>
            </w:r>
            <w:r>
              <w:rPr>
                <w:rFonts w:hint="eastAsia" w:ascii="Times New Roman" w:hAnsi="Times New Roman" w:eastAsia="仿宋_GB2312"/>
                <w:kern w:val="0"/>
                <w:sz w:val="24"/>
                <w:szCs w:val="24"/>
              </w:rPr>
              <w:t>发展改革</w:t>
            </w:r>
            <w:r>
              <w:rPr>
                <w:rFonts w:ascii="Times New Roman" w:hAnsi="Times New Roman" w:eastAsia="仿宋_GB2312"/>
                <w:kern w:val="0"/>
                <w:sz w:val="24"/>
                <w:szCs w:val="24"/>
              </w:rPr>
              <w:t>委</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46</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46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hint="eastAsia" w:ascii="Times New Roman" w:hAnsi="Times New Roman" w:eastAsia="仿宋_GB2312"/>
                <w:kern w:val="0"/>
                <w:sz w:val="24"/>
                <w:szCs w:val="24"/>
              </w:rPr>
              <w:t>2.17</w:t>
            </w:r>
            <w:r>
              <w:rPr>
                <w:rFonts w:ascii="Times New Roman" w:hAnsi="Times New Roman" w:eastAsia="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市财政局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4</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市科技局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5</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w:t>
            </w:r>
            <w:r>
              <w:rPr>
                <w:rFonts w:hint="eastAsia" w:ascii="Times New Roman" w:hAnsi="Times New Roman" w:eastAsia="仿宋_GB2312"/>
                <w:kern w:val="0"/>
                <w:sz w:val="24"/>
                <w:szCs w:val="24"/>
              </w:rPr>
              <w:t>教育体育</w:t>
            </w:r>
            <w:r>
              <w:rPr>
                <w:rFonts w:ascii="Times New Roman" w:hAnsi="Times New Roman" w:eastAsia="仿宋_GB2312"/>
                <w:kern w:val="0"/>
                <w:sz w:val="24"/>
                <w:szCs w:val="24"/>
              </w:rPr>
              <w:t>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36</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36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6</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市公安局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98.90%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7</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市司法局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83.52%</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8</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市民政局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16</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6.25%</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9</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市农业农村局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10</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市林业局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11</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市水利局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24</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20.83%</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12</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市文化广电旅游局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52</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94.55%</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13</w:t>
            </w:r>
          </w:p>
        </w:tc>
        <w:tc>
          <w:tcPr>
            <w:tcW w:w="0" w:type="auto"/>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遂宁</w:t>
            </w:r>
          </w:p>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lang w:val="en-US" w:eastAsia="zh-CN" w:bidi="ar-SA"/>
              </w:rPr>
            </w:pPr>
            <w:r>
              <w:rPr>
                <w:rFonts w:ascii="Times New Roman" w:hAnsi="Times New Roman" w:eastAsia="仿宋_GB2312"/>
                <w:kern w:val="0"/>
                <w:sz w:val="24"/>
                <w:szCs w:val="24"/>
              </w:rPr>
              <w:t>市本级</w:t>
            </w: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w:t>
            </w:r>
            <w:r>
              <w:rPr>
                <w:rFonts w:hint="eastAsia" w:ascii="Times New Roman" w:hAnsi="Times New Roman" w:eastAsia="仿宋_GB2312"/>
                <w:kern w:val="0"/>
                <w:sz w:val="24"/>
                <w:szCs w:val="24"/>
              </w:rPr>
              <w:t>卫生</w:t>
            </w:r>
            <w:r>
              <w:rPr>
                <w:rFonts w:hint="eastAsia" w:ascii="Times New Roman" w:hAnsi="Times New Roman"/>
                <w:kern w:val="0"/>
                <w:sz w:val="24"/>
                <w:szCs w:val="24"/>
                <w:lang w:val="en-US" w:eastAsia="zh-CN"/>
              </w:rPr>
              <w:t>健</w:t>
            </w:r>
            <w:bookmarkStart w:id="0" w:name="_GoBack"/>
            <w:bookmarkEnd w:id="0"/>
            <w:r>
              <w:rPr>
                <w:rFonts w:hint="eastAsia" w:ascii="Times New Roman" w:hAnsi="Times New Roman" w:eastAsia="仿宋_GB2312"/>
                <w:kern w:val="0"/>
                <w:sz w:val="24"/>
                <w:szCs w:val="24"/>
              </w:rPr>
              <w:t>康</w:t>
            </w:r>
            <w:r>
              <w:rPr>
                <w:rFonts w:ascii="Times New Roman" w:hAnsi="Times New Roman" w:eastAsia="仿宋_GB2312"/>
                <w:kern w:val="0"/>
                <w:sz w:val="24"/>
                <w:szCs w:val="24"/>
              </w:rPr>
              <w:t>委</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98</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93</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94.90%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14</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市档案局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16</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市自然资源和规划局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77</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77</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17</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市生态环境局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18</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市应急局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54</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92.59%</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19</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w:t>
            </w:r>
            <w:r>
              <w:rPr>
                <w:rFonts w:hint="eastAsia" w:ascii="Times New Roman" w:hAnsi="Times New Roman" w:eastAsia="仿宋_GB2312"/>
                <w:kern w:val="0"/>
                <w:sz w:val="24"/>
                <w:szCs w:val="24"/>
              </w:rPr>
              <w:t>住房城乡建设</w:t>
            </w:r>
            <w:r>
              <w:rPr>
                <w:rFonts w:ascii="Times New Roman" w:hAnsi="Times New Roman" w:eastAsia="仿宋_GB2312"/>
                <w:kern w:val="0"/>
                <w:sz w:val="24"/>
                <w:szCs w:val="24"/>
              </w:rPr>
              <w:t>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232</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213</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91.81%</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20</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市税务局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21</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市市场监管局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188</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188</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22</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遂宁国安局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23</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市烟草局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24</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市气象局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25</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市残联</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26</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市公共资源交易中心</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28.57%</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27</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市消委会</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28</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市退役军人局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85.71%</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29</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市医保局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39</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39</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30</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市委宣传部</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32</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市经济和信息化局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33</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市人力资源社会保障局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142</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124</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87.32%</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34</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市人防办</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90.91%</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35</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市公积金中心</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等线"/>
                <w:kern w:val="0"/>
                <w:sz w:val="24"/>
                <w:szCs w:val="24"/>
              </w:rPr>
            </w:pPr>
            <w:r>
              <w:rPr>
                <w:rFonts w:ascii="Times New Roman" w:hAnsi="Times New Roman" w:eastAsia="等线"/>
                <w:kern w:val="0"/>
                <w:sz w:val="24"/>
                <w:szCs w:val="24"/>
              </w:rPr>
              <w:t>36</w:t>
            </w: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p>
        </w:tc>
        <w:tc>
          <w:tcPr>
            <w:tcW w:w="269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市商务局</w:t>
            </w:r>
          </w:p>
        </w:tc>
        <w:tc>
          <w:tcPr>
            <w:tcW w:w="116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1389"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1218"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125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0.00%</w:t>
            </w:r>
          </w:p>
        </w:tc>
      </w:tr>
    </w:tbl>
    <w:p>
      <w:pPr>
        <w:pStyle w:val="2"/>
        <w:rPr>
          <w:rFonts w:hint="default"/>
          <w:lang w:val="en-US" w:eastAsia="zh-CN"/>
        </w:rPr>
        <w:sectPr>
          <w:headerReference r:id="rId3" w:type="default"/>
          <w:footerReference r:id="rId4" w:type="default"/>
          <w:pgSz w:w="11906" w:h="16838"/>
          <w:pgMar w:top="1531" w:right="1417" w:bottom="1531" w:left="1417" w:header="851" w:footer="1417" w:gutter="0"/>
          <w:cols w:space="720" w:num="1"/>
          <w:rtlGutter w:val="0"/>
          <w:docGrid w:type="lines" w:linePitch="453" w:charSpace="0"/>
        </w:sectPr>
      </w:pPr>
    </w:p>
    <w:p>
      <w:pPr>
        <w:spacing w:line="620" w:lineRule="exact"/>
        <w:jc w:val="left"/>
        <w:rPr>
          <w:rFonts w:ascii="黑体" w:hAnsi="黑体" w:eastAsia="黑体" w:cs="仿宋"/>
          <w:sz w:val="32"/>
          <w:szCs w:val="32"/>
        </w:rPr>
      </w:pPr>
      <w:r>
        <w:rPr>
          <w:rFonts w:hint="eastAsia" w:ascii="黑体" w:hAnsi="黑体" w:eastAsia="黑体" w:cs="仿宋"/>
          <w:sz w:val="32"/>
          <w:szCs w:val="32"/>
        </w:rPr>
        <w:t>附件</w:t>
      </w:r>
      <w:r>
        <w:rPr>
          <w:rFonts w:ascii="Times New Roman" w:hAnsi="Times New Roman" w:eastAsia="黑体"/>
          <w:sz w:val="32"/>
          <w:szCs w:val="32"/>
        </w:rPr>
        <w:t>2</w:t>
      </w:r>
    </w:p>
    <w:p>
      <w:pPr>
        <w:spacing w:line="620" w:lineRule="exact"/>
        <w:jc w:val="center"/>
        <w:rPr>
          <w:rFonts w:ascii="方正小标宋简体" w:hAnsi="黑体" w:eastAsia="方正小标宋简体" w:cs="仿宋"/>
          <w:sz w:val="44"/>
          <w:szCs w:val="32"/>
        </w:rPr>
      </w:pPr>
      <w:r>
        <w:rPr>
          <w:rFonts w:hint="eastAsia" w:ascii="方正小标宋简体" w:hAnsi="黑体" w:eastAsia="方正小标宋简体" w:cs="仿宋"/>
          <w:sz w:val="44"/>
          <w:szCs w:val="32"/>
        </w:rPr>
        <w:t>一网通办统计报表（截至6月4日）</w:t>
      </w:r>
    </w:p>
    <w:tbl>
      <w:tblPr>
        <w:tblStyle w:val="5"/>
        <w:tblW w:w="13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2228"/>
        <w:gridCol w:w="1069"/>
        <w:gridCol w:w="619"/>
        <w:gridCol w:w="1069"/>
        <w:gridCol w:w="1079"/>
        <w:gridCol w:w="1079"/>
        <w:gridCol w:w="619"/>
        <w:gridCol w:w="1069"/>
        <w:gridCol w:w="1069"/>
        <w:gridCol w:w="1223"/>
        <w:gridCol w:w="619"/>
        <w:gridCol w:w="93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0" w:type="auto"/>
            <w:vMerge w:val="restart"/>
            <w:shd w:val="clear" w:color="000000" w:fill="FFFFFF"/>
            <w:noWrap/>
            <w:vAlign w:val="center"/>
          </w:tcPr>
          <w:p>
            <w:pPr>
              <w:keepNext w:val="0"/>
              <w:keepLines w:val="0"/>
              <w:pageBreakBefore w:val="0"/>
              <w:kinsoku/>
              <w:wordWrap/>
              <w:overflowPunct/>
              <w:topLinePunct w:val="0"/>
              <w:autoSpaceDE/>
              <w:autoSpaceDN/>
              <w:bidi w:val="0"/>
              <w:adjustRightInd w:val="0"/>
              <w:snapToGrid w:val="0"/>
              <w:jc w:val="left"/>
              <w:textAlignment w:val="auto"/>
              <w:rPr>
                <w:rFonts w:ascii="黑体" w:hAnsi="黑体" w:eastAsia="黑体"/>
                <w:kern w:val="0"/>
                <w:sz w:val="22"/>
                <w:szCs w:val="22"/>
              </w:rPr>
            </w:pPr>
            <w:r>
              <w:rPr>
                <w:rFonts w:ascii="黑体" w:hAnsi="黑体" w:eastAsia="黑体"/>
                <w:kern w:val="0"/>
                <w:sz w:val="20"/>
                <w:szCs w:val="20"/>
              </w:rPr>
              <w:t>层级</w:t>
            </w:r>
          </w:p>
        </w:tc>
        <w:tc>
          <w:tcPr>
            <w:tcW w:w="0" w:type="auto"/>
            <w:vMerge w:val="restart"/>
            <w:shd w:val="clear" w:color="000000" w:fill="FFFFFF"/>
            <w:noWrap/>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黑体" w:hAnsi="黑体" w:eastAsia="黑体"/>
                <w:kern w:val="0"/>
                <w:sz w:val="22"/>
                <w:szCs w:val="22"/>
              </w:rPr>
            </w:pPr>
            <w:r>
              <w:rPr>
                <w:rFonts w:ascii="黑体" w:hAnsi="黑体" w:eastAsia="黑体"/>
                <w:kern w:val="0"/>
                <w:sz w:val="20"/>
                <w:szCs w:val="20"/>
              </w:rPr>
              <w:t>地区/部门</w:t>
            </w:r>
          </w:p>
        </w:tc>
        <w:tc>
          <w:tcPr>
            <w:tcW w:w="3766" w:type="dxa"/>
            <w:gridSpan w:val="4"/>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2"/>
                <w:szCs w:val="22"/>
              </w:rPr>
            </w:pPr>
            <w:r>
              <w:rPr>
                <w:rFonts w:ascii="黑体" w:hAnsi="黑体" w:eastAsia="黑体"/>
                <w:kern w:val="0"/>
                <w:sz w:val="22"/>
                <w:szCs w:val="22"/>
              </w:rPr>
              <w:t>总承诺件办件效率（%）</w:t>
            </w:r>
          </w:p>
        </w:tc>
        <w:tc>
          <w:tcPr>
            <w:tcW w:w="3766" w:type="dxa"/>
            <w:gridSpan w:val="4"/>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2"/>
                <w:szCs w:val="22"/>
              </w:rPr>
            </w:pPr>
            <w:r>
              <w:rPr>
                <w:rFonts w:ascii="黑体" w:hAnsi="黑体" w:eastAsia="黑体"/>
                <w:kern w:val="0"/>
                <w:sz w:val="22"/>
                <w:szCs w:val="22"/>
              </w:rPr>
              <w:t>线上承诺办件效率</w:t>
            </w:r>
          </w:p>
        </w:tc>
        <w:tc>
          <w:tcPr>
            <w:tcW w:w="0" w:type="auto"/>
            <w:gridSpan w:val="4"/>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2"/>
                <w:szCs w:val="22"/>
              </w:rPr>
            </w:pPr>
            <w:r>
              <w:rPr>
                <w:rFonts w:ascii="黑体" w:hAnsi="黑体" w:eastAsia="黑体"/>
                <w:kern w:val="0"/>
                <w:sz w:val="22"/>
                <w:szCs w:val="22"/>
              </w:rPr>
              <w:t>"好差评"（%）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0" w:type="auto"/>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kern w:val="0"/>
                <w:sz w:val="20"/>
                <w:szCs w:val="20"/>
              </w:rPr>
            </w:pPr>
          </w:p>
        </w:tc>
        <w:tc>
          <w:tcPr>
            <w:tcW w:w="0" w:type="auto"/>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kern w:val="0"/>
                <w:sz w:val="20"/>
                <w:szCs w:val="20"/>
              </w:rPr>
            </w:pP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承诺提速</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排名</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办理提速</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提前办结</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网上办理</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排名</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办理提速</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提前办结</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主动评价率</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排名</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满意率</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kern w:val="0"/>
                <w:sz w:val="20"/>
                <w:szCs w:val="20"/>
              </w:rPr>
            </w:pPr>
            <w:r>
              <w:rPr>
                <w:rFonts w:ascii="黑体" w:hAnsi="黑体" w:eastAsia="黑体"/>
                <w:kern w:val="0"/>
                <w:sz w:val="20"/>
                <w:szCs w:val="2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安居区</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56.94%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91.45%</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66.49%</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74.11%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88.01%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54.78%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7.99%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射洪市</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74.01%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98.77%</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98.94%</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9.05%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87.50%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91.38%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14.75%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99.98%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遂宁高新区</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70.73%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99.29%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98.75%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75.00%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遂宁河东新区</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54.63%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87.06%</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88.39%</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4.46%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16.96%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遂宁经开区</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78.71%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99.67%</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99.33%</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0.45%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24.20%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船山区</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78.21%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87.78%</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96.57%</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39.50%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86.00%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96.42%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24.10%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蓬溪县</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48.99%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98.99%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98.63%</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3.66%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87.15%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63.33%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12.92%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大英县</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67.58%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89.77%</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96.72%</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5.92%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87.98%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91.82%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12.11%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遂宁市本级</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50.93%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97.89%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89.13%</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14.33%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86.54%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27.77%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28.82%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全市</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62.25%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96.44%</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94.32%</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12.79%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86.83%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65.03%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19.56%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100.00%</w:t>
            </w:r>
          </w:p>
        </w:tc>
        <w:tc>
          <w:tcPr>
            <w:tcW w:w="0" w:type="auto"/>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市住房城乡建设局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22.18%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98.48%</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95.65%</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60.87%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15.00%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市人防办</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市气象局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73.17%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33.33%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市林业局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71.43%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96.89%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91.67%</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53.85%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市市场监管局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69.83%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91.89%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47.08%</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70.26%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86.74%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24.76%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35.58%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75.64%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97.99%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7.32%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94.12%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8.14%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市商务局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58.55%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市水利局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60.12%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96.74%</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96.70%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14.58%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市城管执法局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75.00%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99.89%</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16.33%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w:t>
            </w:r>
            <w:r>
              <w:rPr>
                <w:rFonts w:hint="eastAsia" w:ascii="Times New Roman" w:hAnsi="Times New Roman" w:eastAsia="仿宋_GB2312"/>
                <w:kern w:val="0"/>
                <w:sz w:val="20"/>
                <w:szCs w:val="20"/>
              </w:rPr>
              <w:t>生态环境</w:t>
            </w:r>
            <w:r>
              <w:rPr>
                <w:rFonts w:ascii="Times New Roman" w:hAnsi="Times New Roman" w:eastAsia="仿宋_GB2312"/>
                <w:kern w:val="0"/>
                <w:sz w:val="20"/>
                <w:szCs w:val="20"/>
              </w:rPr>
              <w:t>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70.48%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98.62%</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29.79%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市教育</w:t>
            </w:r>
            <w:r>
              <w:rPr>
                <w:rFonts w:hint="eastAsia" w:ascii="Times New Roman" w:hAnsi="Times New Roman" w:eastAsia="仿宋_GB2312"/>
                <w:kern w:val="0"/>
                <w:sz w:val="20"/>
                <w:szCs w:val="20"/>
              </w:rPr>
              <w:t>体育</w:t>
            </w:r>
            <w:r>
              <w:rPr>
                <w:rFonts w:ascii="Times New Roman" w:hAnsi="Times New Roman" w:eastAsia="仿宋_GB2312"/>
                <w:kern w:val="0"/>
                <w:sz w:val="20"/>
                <w:szCs w:val="20"/>
              </w:rPr>
              <w:t>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81.30%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18.18%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市应急局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67.49%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17.24%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60.61%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市财政局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市公积金中心</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60.61%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市公安局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59.39%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市民政局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市自然资源和规划局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75.99%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99.83%</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97.40%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市人力资源社会保障局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52.00%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19</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市司法局</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56.96%</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46.67%</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37.78%</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2.22%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4.35%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市委宣传部</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94.50%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97.50%</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97.50%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21</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市发展改革委</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76.40%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4</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99.48%</w:t>
            </w:r>
          </w:p>
        </w:tc>
        <w:tc>
          <w:tcPr>
            <w:tcW w:w="1045"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1044" w:type="dxa"/>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30.00%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98.75%</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17</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22</w:t>
            </w:r>
          </w:p>
        </w:tc>
        <w:tc>
          <w:tcPr>
            <w:tcW w:w="0" w:type="auto"/>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市文化广电旅游局</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Arial Unicode MS"/>
                <w:kern w:val="0"/>
                <w:sz w:val="20"/>
                <w:szCs w:val="20"/>
              </w:rPr>
            </w:pPr>
            <w:r>
              <w:rPr>
                <w:rFonts w:ascii="Times New Roman" w:hAnsi="Times New Roman" w:eastAsia="Arial Unicode MS"/>
                <w:sz w:val="20"/>
                <w:szCs w:val="20"/>
              </w:rPr>
              <w:t>10.85%</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等线"/>
                <w:sz w:val="20"/>
                <w:szCs w:val="20"/>
              </w:rPr>
            </w:pPr>
            <w:r>
              <w:rPr>
                <w:rFonts w:ascii="Times New Roman" w:hAnsi="Times New Roman" w:eastAsia="等线"/>
                <w:sz w:val="20"/>
                <w:szCs w:val="20"/>
              </w:rPr>
              <w:t>20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Arial Unicode MS"/>
                <w:sz w:val="20"/>
                <w:szCs w:val="20"/>
              </w:rPr>
            </w:pPr>
            <w:r>
              <w:rPr>
                <w:rFonts w:ascii="Times New Roman" w:hAnsi="Times New Roman" w:eastAsia="Arial Unicode MS"/>
                <w:sz w:val="20"/>
                <w:szCs w:val="20"/>
              </w:rPr>
              <w:t>100.00%</w:t>
            </w:r>
          </w:p>
        </w:tc>
        <w:tc>
          <w:tcPr>
            <w:tcW w:w="10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Arial Unicode MS"/>
                <w:sz w:val="20"/>
                <w:szCs w:val="20"/>
              </w:rPr>
            </w:pPr>
            <w:r>
              <w:rPr>
                <w:rFonts w:ascii="Times New Roman" w:hAnsi="Times New Roman" w:eastAsia="Arial Unicode MS"/>
                <w:sz w:val="20"/>
                <w:szCs w:val="20"/>
              </w:rPr>
              <w:t>100.00%</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Arial Unicode MS"/>
                <w:kern w:val="0"/>
                <w:sz w:val="20"/>
                <w:szCs w:val="20"/>
              </w:rPr>
            </w:pPr>
            <w:r>
              <w:rPr>
                <w:rFonts w:ascii="Times New Roman" w:hAnsi="Times New Roman" w:eastAsia="Arial Unicode MS"/>
                <w:sz w:val="20"/>
                <w:szCs w:val="20"/>
              </w:rPr>
              <w:t>0.00%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等线"/>
                <w:sz w:val="20"/>
                <w:szCs w:val="20"/>
              </w:rPr>
            </w:pPr>
            <w:r>
              <w:rPr>
                <w:rFonts w:ascii="Times New Roman" w:hAnsi="Times New Roman" w:eastAsia="等线"/>
                <w:sz w:val="20"/>
                <w:szCs w:val="20"/>
              </w:rPr>
              <w:t>9</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Arial Unicode MS"/>
                <w:sz w:val="20"/>
                <w:szCs w:val="20"/>
              </w:rPr>
            </w:pPr>
            <w:r>
              <w:rPr>
                <w:rFonts w:ascii="Times New Roman" w:hAnsi="Times New Roman" w:eastAsia="Arial Unicode MS"/>
                <w:sz w:val="20"/>
                <w:szCs w:val="20"/>
              </w:rPr>
              <w:t>0.00%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Arial Unicode MS"/>
                <w:sz w:val="20"/>
                <w:szCs w:val="20"/>
              </w:rPr>
            </w:pPr>
            <w:r>
              <w:rPr>
                <w:rFonts w:ascii="Times New Roman" w:hAnsi="Times New Roman" w:eastAsia="Arial Unicode MS"/>
                <w:sz w:val="20"/>
                <w:szCs w:val="20"/>
              </w:rPr>
              <w:t>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Arial Unicode MS"/>
                <w:kern w:val="0"/>
                <w:sz w:val="20"/>
                <w:szCs w:val="20"/>
              </w:rPr>
            </w:pPr>
            <w:r>
              <w:rPr>
                <w:rFonts w:ascii="Times New Roman" w:hAnsi="Times New Roman" w:eastAsia="Arial Unicode MS"/>
                <w:sz w:val="20"/>
                <w:szCs w:val="20"/>
              </w:rPr>
              <w:t>0.00%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等线"/>
                <w:sz w:val="20"/>
                <w:szCs w:val="20"/>
              </w:rPr>
            </w:pPr>
            <w:r>
              <w:rPr>
                <w:rFonts w:ascii="Times New Roman" w:hAnsi="Times New Roman" w:eastAsia="等线"/>
                <w:sz w:val="20"/>
                <w:szCs w:val="20"/>
              </w:rPr>
              <w:t>17</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100.00%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等线"/>
                <w:sz w:val="20"/>
                <w:szCs w:val="20"/>
              </w:rPr>
            </w:pPr>
            <w:r>
              <w:rPr>
                <w:rFonts w:ascii="Times New Roman" w:hAnsi="Times New Roman" w:eastAsia="等线"/>
                <w:sz w:val="20"/>
                <w:szCs w:val="20"/>
              </w:rPr>
              <w:t>1</w:t>
            </w:r>
          </w:p>
        </w:tc>
      </w:tr>
    </w:tbl>
    <w:p>
      <w:pPr>
        <w:spacing w:line="620" w:lineRule="exact"/>
        <w:jc w:val="left"/>
        <w:rPr>
          <w:rFonts w:ascii="黑体" w:hAnsi="黑体" w:eastAsia="黑体" w:cs="仿宋"/>
          <w:sz w:val="32"/>
          <w:szCs w:val="32"/>
        </w:rPr>
      </w:pPr>
      <w:r>
        <w:rPr>
          <w:rFonts w:hint="eastAsia" w:ascii="黑体" w:hAnsi="黑体" w:eastAsia="黑体" w:cs="仿宋"/>
          <w:sz w:val="32"/>
          <w:szCs w:val="32"/>
        </w:rPr>
        <w:t>附件</w:t>
      </w:r>
      <w:r>
        <w:rPr>
          <w:rFonts w:ascii="Times New Roman" w:hAnsi="Times New Roman" w:eastAsia="黑体"/>
          <w:sz w:val="32"/>
          <w:szCs w:val="32"/>
        </w:rPr>
        <w:t>3</w:t>
      </w:r>
    </w:p>
    <w:p>
      <w:pPr>
        <w:spacing w:line="620" w:lineRule="exact"/>
        <w:jc w:val="center"/>
        <w:rPr>
          <w:rFonts w:hint="eastAsia" w:ascii="方正小标宋简体" w:hAnsi="黑体" w:eastAsia="方正小标宋简体" w:cs="仿宋"/>
          <w:sz w:val="44"/>
          <w:szCs w:val="32"/>
        </w:rPr>
      </w:pPr>
      <w:r>
        <w:rPr>
          <w:rFonts w:hint="eastAsia" w:ascii="方正小标宋简体" w:hAnsi="黑体" w:eastAsia="方正小标宋简体" w:cs="仿宋"/>
          <w:sz w:val="44"/>
          <w:szCs w:val="32"/>
        </w:rPr>
        <w:t>一体化平台指标定义</w:t>
      </w:r>
    </w:p>
    <w:tbl>
      <w:tblPr>
        <w:tblStyle w:val="5"/>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4"/>
        <w:gridCol w:w="1178"/>
        <w:gridCol w:w="6031"/>
        <w:gridCol w:w="5394"/>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9" w:hRule="atLeast"/>
          <w:tblHeader/>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sz w:val="20"/>
                <w:szCs w:val="20"/>
              </w:rPr>
            </w:pPr>
            <w:r>
              <w:rPr>
                <w:rFonts w:ascii="黑体" w:hAnsi="黑体" w:eastAsia="黑体"/>
                <w:sz w:val="20"/>
                <w:szCs w:val="20"/>
              </w:rPr>
              <w:t>序号</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sz w:val="20"/>
                <w:szCs w:val="20"/>
              </w:rPr>
            </w:pPr>
            <w:r>
              <w:rPr>
                <w:rFonts w:ascii="黑体" w:hAnsi="黑体" w:eastAsia="黑体"/>
                <w:sz w:val="20"/>
                <w:szCs w:val="20"/>
              </w:rPr>
              <w:t>指标</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sz w:val="20"/>
                <w:szCs w:val="20"/>
              </w:rPr>
            </w:pPr>
            <w:r>
              <w:rPr>
                <w:rFonts w:ascii="黑体" w:hAnsi="黑体" w:eastAsia="黑体"/>
                <w:sz w:val="20"/>
                <w:szCs w:val="20"/>
              </w:rPr>
              <w:t>指标释义</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sz w:val="20"/>
                <w:szCs w:val="20"/>
              </w:rPr>
            </w:pPr>
            <w:r>
              <w:rPr>
                <w:rFonts w:hint="eastAsia" w:ascii="黑体" w:hAnsi="黑体" w:eastAsia="黑体"/>
                <w:sz w:val="20"/>
                <w:szCs w:val="20"/>
              </w:rPr>
              <w:t>计算</w:t>
            </w:r>
            <w:r>
              <w:rPr>
                <w:rFonts w:ascii="黑体" w:hAnsi="黑体" w:eastAsia="黑体"/>
                <w:sz w:val="20"/>
                <w:szCs w:val="20"/>
              </w:rPr>
              <w:t>公式</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sz w:val="20"/>
                <w:szCs w:val="20"/>
              </w:rPr>
            </w:pPr>
            <w:r>
              <w:rPr>
                <w:rFonts w:ascii="黑体" w:hAnsi="黑体" w:eastAsia="黑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实施清单中十大行政权力事项和公共服务事项数，以通过的办理项为准</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2</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依申请事项数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事项类型为行政许可、行政确认、行政裁决、行政给付、行政奖励、其他行政权力、公共服务中依申请服务和咨询，并且行使方式配置为依申请行使的事项数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kern w:val="0"/>
                <w:sz w:val="20"/>
                <w:szCs w:val="20"/>
                <w:lang w:bidi="ar"/>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3</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主动行使事项数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事项</w:t>
            </w:r>
            <w:r>
              <w:rPr>
                <w:rFonts w:ascii="Times New Roman" w:hAnsi="Times New Roman" w:eastAsia="仿宋_GB2312"/>
                <w:spacing w:val="-6"/>
                <w:kern w:val="0"/>
                <w:sz w:val="20"/>
                <w:szCs w:val="20"/>
                <w:lang w:bidi="ar"/>
              </w:rPr>
              <w:t>类型为行政处罚、行政强制、行政检查、行政征收、公共服务中主动服务，加上其他事项类型中行使方式配置为主动行使的事项数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4</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与国家目录匹配数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实施清单中已与国家目录匹配上的事项数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5</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证明类事项数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实施清单中是否证明类事项配置为是的依申请事项数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6</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即办事项数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实施清单中办件类型配置为即办件的依申请事项数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7</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承诺事项数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实施清单中办件类型配置为承诺件的依申请事项数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8</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收费事项数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实施清单中是否收费配置为是的依申请事项数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9</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可在线支付数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实施清单中是否收费配置为是，是否可在线支付配置为是的依申请事项数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10</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网上办理事项数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11</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全程网办事项数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实施清单中办理类型配置了网上办理，网办类型配置为全程网办的依申请事项数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12</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原件预审事项数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实施清单中办理类型配置了网上办理，网办类型配置为原件预审的依申请事项数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13</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原件核验事项数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实施清单中办理类型配置了网上办理，网办类型配置为原件核验的依申请事项数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14</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全国通办事项数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实施清单中通办范围配置了全国通办的依申请事项数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15</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全省通办事项数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实施清单中通办范围配置了全省通办的依申请事项数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16</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全市通办事项数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实施清单中通办范围配置了全市通办的依申请事项数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17</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全县通办事项数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实施清单中通办范围配置了全县通办的依申请事项数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18</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全镇(乡、街道)通办数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实施清单中通办范围配置了全镇(乡、街道)的依申请事项数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19</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跨村(社区)通办数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实施清单中通办范围配置了跨村(社区)的依申请事项数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20</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就近办事项数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实施清单中是否进驻便民服务中心配置为是的依申请事项数（统计区县级，排除省级、市本级事项配置为是的数据）</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21</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一次办事项数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实施清单中跑动次数配置为1次的依申请事项数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22</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马上办事项数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实施清单中办件类型配置为即办件的依申请事项数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23</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网上办事项数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24</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进驻政务大厅事项数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实施清单中是否进驻政务大厅配置为是的依申请事项数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25</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纳入便民服务中心事项数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实施清单中是否纳入便民服务中心配置为是的依申请事项数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26</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支持物流快递事项数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实施清单中是否支持物流快递配置为是的依申请事项数（若同时勾选网上办理和窗口办理，以网上办理的信息配置为准）</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27</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支持预约办理事项数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实施清单中是否支持预约办理配置为是的依申请事项数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28</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告知承诺事项数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实施清单中是否告知承诺配置为是的依申请事项数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29</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一体化全程办理事项数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实施清单中是否在一体化全程办理配置为是的依申请事项数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1"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30</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材料减免率</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实施清单中依申请政务服务事项中申请材料勾选免交的事项、依申请政务服务事项申请材料为零的事项、依申请政务服务事项申请材料列表中材料属性为“申请表单”的事项总数之和/依申请政务服务事项数量</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依申请政务服务事项中申请材料勾选免交的事项+依申请政务服务事项申请材料为零的事项+依申请政务服务事项申请材料列表中材料属性为“申请表单”的事项总数/依申请政务服务事项数量*100%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31</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平均跑动次数</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实施清单中依申请政务服务事项窗口办理跑动次数、依申请政务服务事项网上办理中跑动次数、（依申请政务服务事项窗口办理跑动次数、网上办理中跑动次数最小值）的和/依申请政务服务事项总数</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[依申请政务服务事项窗口办理跑动次数+依申请政务服务事项网上办理中跑动次数+（依申请政务服务事项窗口办理跑动次数、网上办理中跑动次数最小值）]/依申请政务服务事项总数</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32</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时限压缩比例</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实施清单中依申请政务服务事项承诺时限在法定事项上的压缩比例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依申请（法定时限-承诺时限）/法定时限*100%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33</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就近办事项数占比</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实施清单中是否进驻便民服务中心配置为是的依申请事项数（统计区县级，排除省级、市本级事项配置为是的数据）占依申请总事项数的比例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就近办事项/依申请事项总数*100%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34</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一次办事项数占比</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实施清单中跑动次数配置为1次的依申请事项数占依申请总事项数的比例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一次办事项/依申请事项总数*100%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35</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网上办事项数占比</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实施清单中办理类型配置了网上办理的依申请事项数占依申请总事项数的比例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网上办事项/依申请事项总数*100%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36</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马上办事项数占比</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实施清单中办件类型配置为即办件的依申请事项数占依申请总事项数的比例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马上办事项/依申请事项总数*100%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37</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全程网办率</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实施清单中办理类型配置了网上办理，网办类型配置为全程办理的依申请事项数占依申请事项总数的比例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全程网办事项数/依申请事项总数*100%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38</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即办事项比例</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实施清单中办件类型配置为即办件的依申请事项数占依申请总事项数的比例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即办事项数/依申请事项总数*100%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jc w:val="center"/>
        </w:trPr>
        <w:tc>
          <w:tcPr>
            <w:tcW w:w="70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sz w:val="20"/>
                <w:szCs w:val="20"/>
              </w:rPr>
              <w:t>39</w:t>
            </w:r>
          </w:p>
        </w:tc>
        <w:tc>
          <w:tcPr>
            <w:tcW w:w="1178"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承诺事项比例</w:t>
            </w:r>
          </w:p>
        </w:tc>
        <w:tc>
          <w:tcPr>
            <w:tcW w:w="6031"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实施清单中办件类型配置为承诺件的依申请事项数占依申请总事项数的比例</w:t>
            </w:r>
          </w:p>
        </w:tc>
        <w:tc>
          <w:tcPr>
            <w:tcW w:w="5394"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仿宋_GB2312"/>
                <w:sz w:val="20"/>
                <w:szCs w:val="20"/>
              </w:rPr>
            </w:pPr>
            <w:r>
              <w:rPr>
                <w:rFonts w:ascii="Times New Roman" w:hAnsi="Times New Roman" w:eastAsia="仿宋_GB2312"/>
                <w:kern w:val="0"/>
                <w:sz w:val="20"/>
                <w:szCs w:val="20"/>
                <w:lang w:bidi="ar"/>
              </w:rPr>
              <w:t>承诺事项数/依申请事项总数*100%</w:t>
            </w:r>
          </w:p>
        </w:tc>
        <w:tc>
          <w:tcPr>
            <w:tcW w:w="693" w:type="dxa"/>
            <w:shd w:val="clear" w:color="auto" w:fill="FFFFFF"/>
            <w:noWrap w:val="0"/>
            <w:tcMar>
              <w:left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z w:val="20"/>
                <w:szCs w:val="20"/>
              </w:rPr>
            </w:pPr>
            <w:r>
              <w:rPr>
                <w:rFonts w:ascii="Times New Roman" w:hAnsi="Times New Roman" w:eastAsia="仿宋_GB2312"/>
                <w:kern w:val="0"/>
                <w:sz w:val="20"/>
                <w:szCs w:val="20"/>
                <w:lang w:bidi="ar"/>
              </w:rPr>
              <w:t>%</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0885"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0885" cy="190500"/>
                      </a:xfrm>
                      <a:prstGeom prst="rect">
                        <a:avLst/>
                      </a:prstGeom>
                      <a:noFill/>
                      <a:ln>
                        <a:noFill/>
                      </a:ln>
                    </wps:spPr>
                    <wps:txbx>
                      <w:txbxContent>
                        <w:p>
                          <w:pPr>
                            <w:pStyle w:val="3"/>
                            <w:spacing w:line="300" w:lineRule="exact"/>
                            <w:jc w:val="center"/>
                            <w:rPr>
                              <w:rStyle w:val="7"/>
                              <w:rFonts w:ascii="Times New Roman"/>
                              <w:sz w:val="28"/>
                              <w:szCs w:val="28"/>
                            </w:rPr>
                          </w:pPr>
                          <w:r>
                            <w:rPr>
                              <w:rStyle w:val="7"/>
                              <w:rFonts w:ascii="Times New Roman"/>
                              <w:sz w:val="28"/>
                              <w:szCs w:val="28"/>
                            </w:rPr>
                            <w:t xml:space="preserve">— </w:t>
                          </w:r>
                          <w:r>
                            <w:rPr>
                              <w:rFonts w:ascii="Times New Roman"/>
                              <w:sz w:val="28"/>
                              <w:szCs w:val="28"/>
                            </w:rPr>
                            <w:fldChar w:fldCharType="begin"/>
                          </w:r>
                          <w:r>
                            <w:rPr>
                              <w:rStyle w:val="7"/>
                              <w:rFonts w:ascii="Times New Roman"/>
                              <w:sz w:val="28"/>
                              <w:szCs w:val="28"/>
                            </w:rPr>
                            <w:instrText xml:space="preserve">PAGE  </w:instrText>
                          </w:r>
                          <w:r>
                            <w:rPr>
                              <w:rFonts w:ascii="Times New Roman"/>
                              <w:sz w:val="28"/>
                              <w:szCs w:val="28"/>
                            </w:rPr>
                            <w:fldChar w:fldCharType="separate"/>
                          </w:r>
                          <w:r>
                            <w:rPr>
                              <w:rStyle w:val="7"/>
                              <w:rFonts w:ascii="Times New Roman"/>
                              <w:sz w:val="28"/>
                              <w:szCs w:val="28"/>
                            </w:rPr>
                            <w:t>2</w:t>
                          </w:r>
                          <w:r>
                            <w:rPr>
                              <w:rFonts w:ascii="Times New Roman"/>
                              <w:sz w:val="28"/>
                              <w:szCs w:val="28"/>
                            </w:rPr>
                            <w:fldChar w:fldCharType="end"/>
                          </w:r>
                          <w:r>
                            <w:rPr>
                              <w:rStyle w:val="7"/>
                              <w:rFonts w:ascii="Times New Roman"/>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5pt;width:57.55pt;mso-position-horizontal:outside;mso-position-horizontal-relative:margin;z-index:251659264;mso-width-relative:page;mso-height-relative:page;" filled="f" stroked="f" coordsize="21600,21600" o:gfxdata="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G1G1DSAAAABAEAAA8AAAAAAAAAAQAgAAAAIgAAAGRycy9kb3ducmV2Lnht&#10;bFBLAQIUABQAAAAIAIdO4kCUxw78xgEAAIsDAAAOAAAAAAAAAAEAIAAAACEBAABkcnMvZTJvRG9j&#10;LnhtbFBLBQYAAAAABgAGAFkBAABZBQAAAAA=&#10;">
              <v:fill on="f" focussize="0,0"/>
              <v:stroke on="f"/>
              <v:imagedata o:title=""/>
              <o:lock v:ext="edit" aspectratio="f"/>
              <v:textbox inset="0mm,0mm,0mm,0mm" style="mso-fit-shape-to-text:t;">
                <w:txbxContent>
                  <w:p>
                    <w:pPr>
                      <w:pStyle w:val="3"/>
                      <w:spacing w:line="300" w:lineRule="exact"/>
                      <w:jc w:val="center"/>
                      <w:rPr>
                        <w:rStyle w:val="7"/>
                        <w:rFonts w:ascii="Times New Roman"/>
                        <w:sz w:val="28"/>
                        <w:szCs w:val="28"/>
                      </w:rPr>
                    </w:pPr>
                    <w:r>
                      <w:rPr>
                        <w:rStyle w:val="7"/>
                        <w:rFonts w:ascii="Times New Roman"/>
                        <w:sz w:val="28"/>
                        <w:szCs w:val="28"/>
                      </w:rPr>
                      <w:t xml:space="preserve">— </w:t>
                    </w:r>
                    <w:r>
                      <w:rPr>
                        <w:rFonts w:ascii="Times New Roman"/>
                        <w:sz w:val="28"/>
                        <w:szCs w:val="28"/>
                      </w:rPr>
                      <w:fldChar w:fldCharType="begin"/>
                    </w:r>
                    <w:r>
                      <w:rPr>
                        <w:rStyle w:val="7"/>
                        <w:rFonts w:ascii="Times New Roman"/>
                        <w:sz w:val="28"/>
                        <w:szCs w:val="28"/>
                      </w:rPr>
                      <w:instrText xml:space="preserve">PAGE  </w:instrText>
                    </w:r>
                    <w:r>
                      <w:rPr>
                        <w:rFonts w:ascii="Times New Roman"/>
                        <w:sz w:val="28"/>
                        <w:szCs w:val="28"/>
                      </w:rPr>
                      <w:fldChar w:fldCharType="separate"/>
                    </w:r>
                    <w:r>
                      <w:rPr>
                        <w:rStyle w:val="7"/>
                        <w:rFonts w:ascii="Times New Roman"/>
                        <w:sz w:val="28"/>
                        <w:szCs w:val="28"/>
                      </w:rPr>
                      <w:t>2</w:t>
                    </w:r>
                    <w:r>
                      <w:rPr>
                        <w:rFonts w:ascii="Times New Roman"/>
                        <w:sz w:val="28"/>
                        <w:szCs w:val="28"/>
                      </w:rPr>
                      <w:fldChar w:fldCharType="end"/>
                    </w:r>
                    <w:r>
                      <w:rPr>
                        <w:rStyle w:val="7"/>
                        <w:rFonts w:asci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mI5NTg4ZGE2N2QzOTEyMzRlYzExYjNmZjdiNGYifQ=="/>
  </w:docVars>
  <w:rsids>
    <w:rsidRoot w:val="557B0930"/>
    <w:rsid w:val="260C3770"/>
    <w:rsid w:val="557B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2020-07-15T08:49:00Z</dcterms:created>
  <dc:creator>Administrator</dc:creator>
  <cp:lastModifiedBy>棂鸢</cp:lastModifiedBy>
  <dcterms:modified xsi:type="dcterms:W3CDTF">2023-09-18T07:11:02Z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73C31CA598BF414E80D1768DC0A50807_12</vt:lpwstr>
  </property>
</Properties>
</file>